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1138"/>
        <w:gridCol w:w="9317"/>
      </w:tblGrid>
      <w:tr>
        <w:tc>
          <w:tcPr>
            <w:tcW w:type="dxa" w:w="5227"/>
            <w:tcMar>
              <w:top w:w="0" w:type="dxa"/>
              <w:start w:w="0" w:type="dxa"/>
              <w:bottom w:w="0" w:type="dxa"/>
              <w:end w:w="0" w:type="dxa"/>
            </w:tcMar>
          </w:tcPr>
          <w:p>
            <w:pPr>
              <w:spacing w:before="0" w:after="0" w:line="240" w:lineRule="auto"/>
              <w:jc w:val="center"/>
            </w:pPr>
            <w:r>
              <w:drawing>
                <wp:inline xmlns:a="http://schemas.openxmlformats.org/drawingml/2006/main" xmlns:pic="http://schemas.openxmlformats.org/drawingml/2006/picture">
                  <wp:extent cx="658368" cy="658368"/>
                  <wp:docPr id="1" name="Picture 1"/>
                  <wp:cNvGraphicFramePr>
                    <a:graphicFrameLocks noChangeAspect="1"/>
                  </wp:cNvGraphicFramePr>
                  <a:graphic>
                    <a:graphicData uri="http://schemas.openxmlformats.org/drawingml/2006/picture">
                      <pic:pic>
                        <pic:nvPicPr>
                          <pic:cNvPr id="0" name="ialfm-removebg-preview.png"/>
                          <pic:cNvPicPr/>
                        </pic:nvPicPr>
                        <pic:blipFill>
                          <a:blip r:embed="rId9"/>
                          <a:stretch>
                            <a:fillRect/>
                          </a:stretch>
                        </pic:blipFill>
                        <pic:spPr>
                          <a:xfrm>
                            <a:off x="0" y="0"/>
                            <a:ext cx="658368" cy="658368"/>
                          </a:xfrm>
                          <a:prstGeom prst="rect"/>
                        </pic:spPr>
                      </pic:pic>
                    </a:graphicData>
                  </a:graphic>
                </wp:inline>
              </w:drawing>
            </w:r>
          </w:p>
        </w:tc>
        <w:tc>
          <w:tcPr>
            <w:tcW w:type="dxa" w:w="5227"/>
            <w:tcMar>
              <w:top w:w="0" w:type="dxa"/>
              <w:start w:w="0" w:type="dxa"/>
              <w:bottom w:w="0" w:type="dxa"/>
              <w:end w:w="0" w:type="dxa"/>
            </w:tcMar>
          </w:tcPr>
          <w:p>
            <w:pPr>
              <w:spacing w:before="0" w:after="20" w:line="240" w:lineRule="auto"/>
            </w:pPr>
            <w:r>
              <w:rPr>
                <w:rFonts w:ascii="Carlito" w:hAnsi="Carlito"/>
                <w:b/>
                <w:color w:val="00654D"/>
                <w:sz w:val="16"/>
              </w:rPr>
              <w:t>IALFM  /  BOARD POLICY</w:t>
            </w:r>
          </w:p>
          <w:p>
            <w:pPr>
              <w:spacing w:before="0" w:after="20" w:line="240" w:lineRule="auto"/>
            </w:pPr>
            <w:r>
              <w:rPr>
                <w:rFonts w:ascii="Carlito" w:hAnsi="Carlito"/>
                <w:b/>
                <w:color w:val="1C3030"/>
                <w:sz w:val="38"/>
              </w:rPr>
              <w:t>Education Program Policy</w:t>
            </w:r>
          </w:p>
          <w:p>
            <w:pPr>
              <w:spacing w:before="0" w:after="0" w:line="240" w:lineRule="auto"/>
            </w:pPr>
            <w:r>
              <w:rPr>
                <w:rFonts w:ascii="Carlito" w:hAnsi="Carlito"/>
                <w:b w:val="0"/>
                <w:color w:val="637675"/>
                <w:sz w:val="15"/>
              </w:rPr>
              <w:t>Proposed for Board approval  •  October 2026  •  Applies to all IALFM education programs</w:t>
            </w:r>
          </w:p>
        </w:tc>
      </w:tr>
    </w:tbl>
    <w:p>
      <w:pPr>
        <w:spacing w:before="80" w:after="140" w:line="240" w:lineRule="auto"/>
        <w:pBdr>
          <w:bottom w:val="single" w:sz="15" w:color="00654D"/>
        </w:pBdr>
      </w:pPr>
    </w:p>
    <w:p>
      <w:pPr>
        <w:spacing w:before="0" w:after="60" w:line="252" w:lineRule="auto"/>
      </w:pPr>
      <w:r>
        <w:rPr>
          <w:rFonts w:ascii="Carlito" w:hAnsi="Carlito"/>
          <w:b/>
          <w:color w:val="00654D"/>
          <w:sz w:val="18"/>
        </w:rPr>
        <w:t>PURPOSE &amp; SCOPE</w:t>
      </w:r>
    </w:p>
    <w:p>
      <w:pPr>
        <w:spacing w:before="0" w:after="60" w:line="269" w:lineRule="auto"/>
      </w:pPr>
      <w:r>
        <w:rPr>
          <w:rFonts w:ascii="Carlito" w:hAnsi="Carlito"/>
          <w:b/>
          <w:color w:val="1C3030"/>
          <w:sz w:val="17"/>
        </w:rPr>
        <w:t xml:space="preserve">Sunday School, kids’ programs, Nazira, Arabic language classes, and every other IALFM education activity </w:t>
      </w:r>
      <w:r>
        <w:rPr>
          <w:rFonts w:ascii="Carlito" w:hAnsi="Carlito"/>
          <w:b w:val="0"/>
          <w:color w:val="1C3030"/>
          <w:sz w:val="17"/>
        </w:rPr>
        <w:t>are overseen by the Education Committee. Each program may have a lead/team reporting to the Committee under Board oversight.</w:t>
      </w:r>
    </w:p>
    <w:p>
      <w:pPr>
        <w:spacing w:before="100" w:after="60" w:line="252" w:lineRule="auto"/>
      </w:pPr>
      <w:r>
        <w:rPr>
          <w:rFonts w:ascii="Carlito" w:hAnsi="Carlito"/>
          <w:b/>
          <w:color w:val="00654D"/>
          <w:sz w:val="18"/>
        </w:rPr>
        <w:t>MANDATORY OPERATING STANDARDS</w:t>
      </w:r>
    </w:p>
    <w:tbl>
      <w:tblPr>
        <w:tblW w:type="auto" w:w="0"/>
        <w:jc w:val="center"/>
        <w:tblLayout w:type="fixed"/>
        <w:tblLook w:firstColumn="1" w:firstRow="1" w:lastColumn="0" w:lastRow="0" w:noHBand="0" w:noVBand="1" w:val="04A0"/>
      </w:tblPr>
      <w:tblGrid>
        <w:gridCol w:w="619"/>
        <w:gridCol w:w="9835"/>
      </w:tblGrid>
      <w:tr>
        <w:tc>
          <w:tcPr>
            <w:tcW w:type="dxa" w:w="619"/>
            <w:vAlign w:val="center"/>
            <w:shd w:fill="E2EEE8"/>
            <w:tcMar>
              <w:top w:w="65" w:type="dxa"/>
              <w:start w:w="25" w:type="dxa"/>
              <w:bottom w:w="65" w:type="dxa"/>
              <w:end w:w="25" w:type="dxa"/>
            </w:tcMar>
            <w:tcBorders>
              <w:bottom w:val="single" w:color="CCDCD6" w:sz="4"/>
            </w:tcBorders>
          </w:tcPr>
          <w:p>
            <w:pPr>
              <w:spacing w:before="0" w:after="0" w:line="252" w:lineRule="auto"/>
              <w:jc w:val="center"/>
            </w:pPr>
            <w:r>
              <w:rPr>
                <w:rFonts w:ascii="Carlito" w:hAnsi="Carlito"/>
                <w:b/>
                <w:color w:val="00654D"/>
                <w:sz w:val="18"/>
              </w:rPr>
              <w:t>01</w:t>
            </w:r>
          </w:p>
        </w:tc>
        <w:tc>
          <w:tcPr>
            <w:tcW w:type="dxa" w:w="9835"/>
            <w:vAlign w:val="center"/>
            <w:shd w:fill="F2F7F5"/>
            <w:tcMar>
              <w:top w:w="66" w:type="dxa"/>
              <w:start w:w="95" w:type="dxa"/>
              <w:bottom w:w="66" w:type="dxa"/>
              <w:end w:w="110" w:type="dxa"/>
            </w:tcMar>
            <w:tcBorders>
              <w:bottom w:val="single" w:color="CCDCD6" w:sz="4"/>
            </w:tcBorders>
          </w:tcPr>
          <w:p>
            <w:pPr>
              <w:spacing w:before="0" w:after="0" w:line="259" w:lineRule="auto"/>
            </w:pPr>
            <w:r>
              <w:rPr>
                <w:rFonts w:ascii="Carlito" w:hAnsi="Carlito"/>
                <w:b/>
                <w:color w:val="1C3030"/>
                <w:sz w:val="16"/>
              </w:rPr>
              <w:t xml:space="preserve">Central enrollment &amp; payment  </w:t>
            </w:r>
            <w:r>
              <w:rPr>
                <w:rFonts w:ascii="Carlito" w:hAnsi="Carlito"/>
                <w:b w:val="0"/>
                <w:color w:val="1C3030"/>
                <w:sz w:val="16"/>
              </w:rPr>
              <w:t>Parents create their profile, add each child, assign each child to a program/class, and pay through the Central Student Profile System. This is the official enrollment and payment record.</w:t>
            </w:r>
          </w:p>
        </w:tc>
      </w:tr>
      <w:tr>
        <w:tc>
          <w:tcPr>
            <w:tcW w:type="dxa" w:w="619"/>
            <w:vAlign w:val="center"/>
            <w:shd w:fill="E2EEE8"/>
            <w:tcMar>
              <w:top w:w="65" w:type="dxa"/>
              <w:start w:w="25" w:type="dxa"/>
              <w:bottom w:w="65" w:type="dxa"/>
              <w:end w:w="25" w:type="dxa"/>
            </w:tcMar>
            <w:tcBorders>
              <w:bottom w:val="single" w:color="CCDCD6" w:sz="4"/>
            </w:tcBorders>
          </w:tcPr>
          <w:p>
            <w:pPr>
              <w:spacing w:before="0" w:after="0" w:line="252" w:lineRule="auto"/>
              <w:jc w:val="center"/>
            </w:pPr>
            <w:r>
              <w:rPr>
                <w:rFonts w:ascii="Carlito" w:hAnsi="Carlito"/>
                <w:b/>
                <w:color w:val="00654D"/>
                <w:sz w:val="18"/>
              </w:rPr>
              <w:t>02</w:t>
            </w:r>
          </w:p>
        </w:tc>
        <w:tc>
          <w:tcPr>
            <w:tcW w:type="dxa" w:w="9835"/>
            <w:vAlign w:val="center"/>
            <w:shd w:fill="FFFFFF"/>
            <w:tcMar>
              <w:top w:w="66" w:type="dxa"/>
              <w:start w:w="95" w:type="dxa"/>
              <w:bottom w:w="66" w:type="dxa"/>
              <w:end w:w="110" w:type="dxa"/>
            </w:tcMar>
            <w:tcBorders>
              <w:bottom w:val="single" w:color="CCDCD6" w:sz="4"/>
            </w:tcBorders>
          </w:tcPr>
          <w:p>
            <w:pPr>
              <w:spacing w:before="0" w:after="0" w:line="259" w:lineRule="auto"/>
            </w:pPr>
            <w:r>
              <w:rPr>
                <w:rFonts w:ascii="Carlito" w:hAnsi="Carlito"/>
                <w:b/>
                <w:color w:val="1C3030"/>
                <w:sz w:val="16"/>
              </w:rPr>
              <w:t xml:space="preserve">Background checks for everyone  </w:t>
            </w:r>
            <w:r>
              <w:rPr>
                <w:rFonts w:ascii="Carlito" w:hAnsi="Carlito"/>
                <w:b w:val="0"/>
                <w:color w:val="1C3030"/>
                <w:sz w:val="16"/>
              </w:rPr>
              <w:t>Every education teacher, program lead, employee, contractor, and unpaid volunteer must complete an IALFM background check before serving in any education program.</w:t>
            </w:r>
          </w:p>
        </w:tc>
      </w:tr>
      <w:tr>
        <w:tc>
          <w:tcPr>
            <w:tcW w:type="dxa" w:w="619"/>
            <w:vAlign w:val="center"/>
            <w:shd w:fill="E2EEE8"/>
            <w:tcMar>
              <w:top w:w="65" w:type="dxa"/>
              <w:start w:w="25" w:type="dxa"/>
              <w:bottom w:w="65" w:type="dxa"/>
              <w:end w:w="25" w:type="dxa"/>
            </w:tcMar>
            <w:tcBorders>
              <w:bottom w:val="single" w:color="CCDCD6" w:sz="4"/>
            </w:tcBorders>
          </w:tcPr>
          <w:p>
            <w:pPr>
              <w:spacing w:before="0" w:after="0" w:line="252" w:lineRule="auto"/>
              <w:jc w:val="center"/>
            </w:pPr>
            <w:r>
              <w:rPr>
                <w:rFonts w:ascii="Carlito" w:hAnsi="Carlito"/>
                <w:b/>
                <w:color w:val="00654D"/>
                <w:sz w:val="18"/>
              </w:rPr>
              <w:t>03</w:t>
            </w:r>
          </w:p>
        </w:tc>
        <w:tc>
          <w:tcPr>
            <w:tcW w:type="dxa" w:w="9835"/>
            <w:vAlign w:val="center"/>
            <w:shd w:fill="F2F7F5"/>
            <w:tcMar>
              <w:top w:w="66" w:type="dxa"/>
              <w:start w:w="95" w:type="dxa"/>
              <w:bottom w:w="66" w:type="dxa"/>
              <w:end w:w="110" w:type="dxa"/>
            </w:tcMar>
            <w:tcBorders>
              <w:bottom w:val="single" w:color="CCDCD6" w:sz="4"/>
            </w:tcBorders>
          </w:tcPr>
          <w:p>
            <w:pPr>
              <w:spacing w:before="0" w:after="0" w:line="259" w:lineRule="auto"/>
            </w:pPr>
            <w:r>
              <w:rPr>
                <w:rFonts w:ascii="Carlito" w:hAnsi="Carlito"/>
                <w:b/>
                <w:color w:val="1C3030"/>
                <w:sz w:val="16"/>
              </w:rPr>
              <w:t xml:space="preserve">Employment status &amp; Gusto  </w:t>
            </w:r>
            <w:r>
              <w:rPr>
                <w:rFonts w:ascii="Carlito" w:hAnsi="Carlito"/>
                <w:b w:val="0"/>
                <w:color w:val="1C3030"/>
                <w:sz w:val="16"/>
              </w:rPr>
              <w:t>A compensated worker is an employee or contractor, not a “paid volunteer.” All compensated education personnel must be onboarded and paid through Gusto; hourly workers must use Gusto timesheets.</w:t>
            </w:r>
          </w:p>
        </w:tc>
      </w:tr>
      <w:tr>
        <w:tc>
          <w:tcPr>
            <w:tcW w:type="dxa" w:w="619"/>
            <w:vAlign w:val="center"/>
            <w:shd w:fill="E2EEE8"/>
            <w:tcMar>
              <w:top w:w="65" w:type="dxa"/>
              <w:start w:w="25" w:type="dxa"/>
              <w:bottom w:w="65" w:type="dxa"/>
              <w:end w:w="25" w:type="dxa"/>
            </w:tcMar>
            <w:tcBorders>
              <w:bottom w:val="single" w:color="CCDCD6" w:sz="4"/>
            </w:tcBorders>
          </w:tcPr>
          <w:p>
            <w:pPr>
              <w:spacing w:before="0" w:after="0" w:line="252" w:lineRule="auto"/>
              <w:jc w:val="center"/>
            </w:pPr>
            <w:r>
              <w:rPr>
                <w:rFonts w:ascii="Carlito" w:hAnsi="Carlito"/>
                <w:b/>
                <w:color w:val="00654D"/>
                <w:sz w:val="18"/>
              </w:rPr>
              <w:t>04</w:t>
            </w:r>
          </w:p>
        </w:tc>
        <w:tc>
          <w:tcPr>
            <w:tcW w:type="dxa" w:w="9835"/>
            <w:vAlign w:val="center"/>
            <w:shd w:fill="FFFFFF"/>
            <w:tcMar>
              <w:top w:w="66" w:type="dxa"/>
              <w:start w:w="95" w:type="dxa"/>
              <w:bottom w:w="66" w:type="dxa"/>
              <w:end w:w="110" w:type="dxa"/>
            </w:tcMar>
            <w:tcBorders>
              <w:bottom w:val="single" w:color="CCDCD6" w:sz="4"/>
            </w:tcBorders>
          </w:tcPr>
          <w:p>
            <w:pPr>
              <w:spacing w:before="0" w:after="0" w:line="259" w:lineRule="auto"/>
            </w:pPr>
            <w:r>
              <w:rPr>
                <w:rFonts w:ascii="Carlito" w:hAnsi="Carlito"/>
                <w:b/>
                <w:color w:val="1C3030"/>
                <w:sz w:val="16"/>
              </w:rPr>
              <w:t xml:space="preserve">Regular education roles: compensation by default  </w:t>
            </w:r>
            <w:r>
              <w:rPr>
                <w:rFonts w:ascii="Carlito" w:hAnsi="Carlito"/>
                <w:b w:val="0"/>
                <w:color w:val="1C3030"/>
                <w:sz w:val="16"/>
              </w:rPr>
              <w:t>Anyone consistently teaching, coordinating or serving an essential education role must be budgeted and offered pay, rather than relying on unpaid labor while charging tuition. The individual may decline compensation in writing where lawful. Regular workers remain accountable for duties and attendance.</w:t>
            </w:r>
          </w:p>
        </w:tc>
      </w:tr>
      <w:tr>
        <w:tc>
          <w:tcPr>
            <w:tcW w:type="dxa" w:w="619"/>
            <w:vAlign w:val="center"/>
            <w:shd w:fill="E2EEE8"/>
            <w:tcMar>
              <w:top w:w="65" w:type="dxa"/>
              <w:start w:w="25" w:type="dxa"/>
              <w:bottom w:w="65" w:type="dxa"/>
              <w:end w:w="25" w:type="dxa"/>
            </w:tcMar>
            <w:tcBorders>
              <w:bottom w:val="single" w:color="CCDCD6" w:sz="4"/>
            </w:tcBorders>
          </w:tcPr>
          <w:p>
            <w:pPr>
              <w:spacing w:before="0" w:after="0" w:line="252" w:lineRule="auto"/>
              <w:jc w:val="center"/>
            </w:pPr>
            <w:r>
              <w:rPr>
                <w:rFonts w:ascii="Carlito" w:hAnsi="Carlito"/>
                <w:b/>
                <w:color w:val="00654D"/>
                <w:sz w:val="18"/>
              </w:rPr>
              <w:t>05</w:t>
            </w:r>
          </w:p>
        </w:tc>
        <w:tc>
          <w:tcPr>
            <w:tcW w:type="dxa" w:w="9835"/>
            <w:vAlign w:val="center"/>
            <w:shd w:fill="F2F7F5"/>
            <w:tcMar>
              <w:top w:w="66" w:type="dxa"/>
              <w:start w:w="95" w:type="dxa"/>
              <w:bottom w:w="66" w:type="dxa"/>
              <w:end w:w="110" w:type="dxa"/>
            </w:tcMar>
            <w:tcBorders>
              <w:bottom w:val="single" w:color="CCDCD6" w:sz="4"/>
            </w:tcBorders>
          </w:tcPr>
          <w:p>
            <w:pPr>
              <w:spacing w:before="0" w:after="0" w:line="259" w:lineRule="auto"/>
            </w:pPr>
            <w:r>
              <w:rPr>
                <w:rFonts w:ascii="Carlito" w:hAnsi="Carlito"/>
                <w:b/>
                <w:color w:val="1C3030"/>
                <w:sz w:val="16"/>
              </w:rPr>
              <w:t xml:space="preserve">Larger classes must have a paid teacher  </w:t>
            </w:r>
            <w:r>
              <w:rPr>
                <w:rFonts w:ascii="Carlito" w:hAnsi="Carlito"/>
                <w:b w:val="0"/>
                <w:color w:val="1C3030"/>
                <w:sz w:val="16"/>
              </w:rPr>
              <w:t>Any class with more than 10 students must have a compensated teacher responsible for instruction. Unpaid volunteers may assist but cannot be the sole instructor in such a class.</w:t>
            </w:r>
          </w:p>
        </w:tc>
      </w:tr>
      <w:tr>
        <w:tc>
          <w:tcPr>
            <w:tcW w:type="dxa" w:w="619"/>
            <w:vAlign w:val="center"/>
            <w:shd w:fill="E2EEE8"/>
            <w:tcMar>
              <w:top w:w="65" w:type="dxa"/>
              <w:start w:w="25" w:type="dxa"/>
              <w:bottom w:w="65" w:type="dxa"/>
              <w:end w:w="25" w:type="dxa"/>
            </w:tcMar>
            <w:tcBorders>
              <w:bottom w:val="single" w:color="CCDCD6" w:sz="4"/>
            </w:tcBorders>
          </w:tcPr>
          <w:p>
            <w:pPr>
              <w:spacing w:before="0" w:after="0" w:line="252" w:lineRule="auto"/>
              <w:jc w:val="center"/>
            </w:pPr>
            <w:r>
              <w:rPr>
                <w:rFonts w:ascii="Carlito" w:hAnsi="Carlito"/>
                <w:b/>
                <w:color w:val="00654D"/>
                <w:sz w:val="18"/>
              </w:rPr>
              <w:t>06</w:t>
            </w:r>
          </w:p>
        </w:tc>
        <w:tc>
          <w:tcPr>
            <w:tcW w:type="dxa" w:w="9835"/>
            <w:vAlign w:val="center"/>
            <w:shd w:fill="FFFFFF"/>
            <w:tcMar>
              <w:top w:w="66" w:type="dxa"/>
              <w:start w:w="95" w:type="dxa"/>
              <w:bottom w:w="66" w:type="dxa"/>
              <w:end w:w="110" w:type="dxa"/>
            </w:tcMar>
            <w:tcBorders>
              <w:bottom w:val="single" w:color="CCDCD6" w:sz="4"/>
            </w:tcBorders>
          </w:tcPr>
          <w:p>
            <w:pPr>
              <w:spacing w:before="0" w:after="0" w:line="259" w:lineRule="auto"/>
            </w:pPr>
            <w:r>
              <w:rPr>
                <w:rFonts w:ascii="Carlito" w:hAnsi="Carlito"/>
                <w:b/>
                <w:color w:val="1C3030"/>
                <w:sz w:val="16"/>
              </w:rPr>
              <w:t xml:space="preserve">Class assignment, attendance &amp; progress  </w:t>
            </w:r>
            <w:r>
              <w:rPr>
                <w:rFonts w:ascii="Carlito" w:hAnsi="Carlito"/>
                <w:b w:val="0"/>
                <w:color w:val="1C3030"/>
                <w:sz w:val="16"/>
              </w:rPr>
              <w:t>Every student must be assigned to a class in Central School Management. Teachers record present/absent status each class day and maintain individual learning progress in the system.</w:t>
            </w:r>
          </w:p>
        </w:tc>
      </w:tr>
      <w:tr>
        <w:tc>
          <w:tcPr>
            <w:tcW w:type="dxa" w:w="619"/>
            <w:vAlign w:val="center"/>
            <w:shd w:fill="E2EEE8"/>
            <w:tcMar>
              <w:top w:w="65" w:type="dxa"/>
              <w:start w:w="25" w:type="dxa"/>
              <w:bottom w:w="65" w:type="dxa"/>
              <w:end w:w="25" w:type="dxa"/>
            </w:tcMar>
            <w:tcBorders>
              <w:bottom w:val="single" w:color="CCDCD6" w:sz="4"/>
            </w:tcBorders>
          </w:tcPr>
          <w:p>
            <w:pPr>
              <w:spacing w:before="0" w:after="0" w:line="252" w:lineRule="auto"/>
              <w:jc w:val="center"/>
            </w:pPr>
            <w:r>
              <w:rPr>
                <w:rFonts w:ascii="Carlito" w:hAnsi="Carlito"/>
                <w:b/>
                <w:color w:val="00654D"/>
                <w:sz w:val="18"/>
              </w:rPr>
              <w:t>07</w:t>
            </w:r>
          </w:p>
        </w:tc>
        <w:tc>
          <w:tcPr>
            <w:tcW w:type="dxa" w:w="9835"/>
            <w:vAlign w:val="center"/>
            <w:shd w:fill="F2F7F5"/>
            <w:tcMar>
              <w:top w:w="66" w:type="dxa"/>
              <w:start w:w="95" w:type="dxa"/>
              <w:bottom w:w="66" w:type="dxa"/>
              <w:end w:w="110" w:type="dxa"/>
            </w:tcMar>
            <w:tcBorders>
              <w:bottom w:val="single" w:color="CCDCD6" w:sz="4"/>
            </w:tcBorders>
          </w:tcPr>
          <w:p>
            <w:pPr>
              <w:spacing w:before="0" w:after="0" w:line="259" w:lineRule="auto"/>
            </w:pPr>
            <w:r>
              <w:rPr>
                <w:rFonts w:ascii="Carlito" w:hAnsi="Carlito"/>
                <w:b/>
                <w:color w:val="1C3030"/>
                <w:sz w:val="16"/>
              </w:rPr>
              <w:t xml:space="preserve">Monthly communication with parents  </w:t>
            </w:r>
            <w:r>
              <w:rPr>
                <w:rFonts w:ascii="Carlito" w:hAnsi="Carlito"/>
                <w:b w:val="0"/>
                <w:color w:val="1C3030"/>
                <w:sz w:val="16"/>
              </w:rPr>
              <w:t>At the start of each month, the program lead/coordinator or teacher emails the curriculum, learning objectives, study materials and teaching approach. At month-end, Central School Management automatically emails each parent an individual progress and attendance report using teacher-entered records.</w:t>
            </w:r>
          </w:p>
        </w:tc>
      </w:tr>
      <w:tr>
        <w:tc>
          <w:tcPr>
            <w:tcW w:type="dxa" w:w="619"/>
            <w:vAlign w:val="center"/>
            <w:shd w:fill="E2EEE8"/>
            <w:tcMar>
              <w:top w:w="65" w:type="dxa"/>
              <w:start w:w="25" w:type="dxa"/>
              <w:bottom w:w="65" w:type="dxa"/>
              <w:end w:w="25" w:type="dxa"/>
            </w:tcMar>
            <w:tcBorders>
              <w:bottom w:val="single" w:color="CCDCD6" w:sz="4"/>
            </w:tcBorders>
          </w:tcPr>
          <w:p>
            <w:pPr>
              <w:spacing w:before="0" w:after="0" w:line="252" w:lineRule="auto"/>
              <w:jc w:val="center"/>
            </w:pPr>
            <w:r>
              <w:rPr>
                <w:rFonts w:ascii="Carlito" w:hAnsi="Carlito"/>
                <w:b/>
                <w:color w:val="00654D"/>
                <w:sz w:val="18"/>
              </w:rPr>
              <w:t>08</w:t>
            </w:r>
          </w:p>
        </w:tc>
        <w:tc>
          <w:tcPr>
            <w:tcW w:type="dxa" w:w="9835"/>
            <w:vAlign w:val="center"/>
            <w:shd w:fill="FFFFFF"/>
            <w:tcMar>
              <w:top w:w="66" w:type="dxa"/>
              <w:start w:w="95" w:type="dxa"/>
              <w:bottom w:w="66" w:type="dxa"/>
              <w:end w:w="110" w:type="dxa"/>
            </w:tcMar>
            <w:tcBorders>
              <w:bottom w:val="single" w:color="CCDCD6" w:sz="4"/>
            </w:tcBorders>
          </w:tcPr>
          <w:p>
            <w:pPr>
              <w:spacing w:before="0" w:after="0" w:line="259" w:lineRule="auto"/>
            </w:pPr>
            <w:r>
              <w:rPr>
                <w:rFonts w:ascii="Carlito" w:hAnsi="Carlito"/>
                <w:b/>
                <w:color w:val="1C3030"/>
                <w:sz w:val="16"/>
              </w:rPr>
              <w:t xml:space="preserve">Program-level budgets  </w:t>
            </w:r>
            <w:r>
              <w:rPr>
                <w:rFonts w:ascii="Carlito" w:hAnsi="Carlito"/>
                <w:b w:val="0"/>
                <w:color w:val="1C3030"/>
                <w:sz w:val="16"/>
              </w:rPr>
              <w:t>Each program submits a monthly or annual line-item expense budget for employees/contractors, supplies, snacks, activities, and other costs. A separate student-enrollment forecast is not required.</w:t>
            </w:r>
          </w:p>
        </w:tc>
      </w:tr>
      <w:tr>
        <w:tc>
          <w:tcPr>
            <w:tcW w:type="dxa" w:w="619"/>
            <w:vAlign w:val="center"/>
            <w:shd w:fill="E2EEE8"/>
            <w:tcMar>
              <w:top w:w="65" w:type="dxa"/>
              <w:start w:w="25" w:type="dxa"/>
              <w:bottom w:w="65" w:type="dxa"/>
              <w:end w:w="25" w:type="dxa"/>
            </w:tcMar>
            <w:tcBorders>
              <w:bottom w:val="single" w:color="CCDCD6" w:sz="4"/>
            </w:tcBorders>
          </w:tcPr>
          <w:p>
            <w:pPr>
              <w:spacing w:before="0" w:after="0" w:line="252" w:lineRule="auto"/>
              <w:jc w:val="center"/>
            </w:pPr>
            <w:r>
              <w:rPr>
                <w:rFonts w:ascii="Carlito" w:hAnsi="Carlito"/>
                <w:b/>
                <w:color w:val="00654D"/>
                <w:sz w:val="18"/>
              </w:rPr>
              <w:t>09</w:t>
            </w:r>
          </w:p>
        </w:tc>
        <w:tc>
          <w:tcPr>
            <w:tcW w:type="dxa" w:w="9835"/>
            <w:vAlign w:val="center"/>
            <w:shd w:fill="F2F7F5"/>
            <w:tcMar>
              <w:top w:w="66" w:type="dxa"/>
              <w:start w:w="95" w:type="dxa"/>
              <w:bottom w:w="66" w:type="dxa"/>
              <w:end w:w="110" w:type="dxa"/>
            </w:tcMar>
            <w:tcBorders>
              <w:bottom w:val="single" w:color="CCDCD6" w:sz="4"/>
            </w:tcBorders>
          </w:tcPr>
          <w:p>
            <w:pPr>
              <w:spacing w:before="0" w:after="0" w:line="259" w:lineRule="auto"/>
            </w:pPr>
            <w:r>
              <w:rPr>
                <w:rFonts w:ascii="Carlito" w:hAnsi="Carlito"/>
                <w:b/>
                <w:color w:val="1C3030"/>
                <w:sz w:val="16"/>
              </w:rPr>
              <w:t xml:space="preserve">Snacks: allowance &amp; quality  </w:t>
            </w:r>
            <w:r>
              <w:rPr>
                <w:rFonts w:ascii="Carlito" w:hAnsi="Carlito"/>
                <w:b w:val="0"/>
                <w:color w:val="1C3030"/>
                <w:sz w:val="16"/>
              </w:rPr>
              <w:t>Plan $4 per student per class day (proposed, subject to Board approval). Provide enjoyable, wholesome, halal, age-appropriate options, sufficient portions and water; follow food-safety and allergy precautions. Quality takes priority over lowest price.</w:t>
            </w:r>
          </w:p>
        </w:tc>
      </w:tr>
      <w:tr>
        <w:tc>
          <w:tcPr>
            <w:tcW w:type="dxa" w:w="619"/>
            <w:vAlign w:val="center"/>
            <w:shd w:fill="E2EEE8"/>
            <w:tcMar>
              <w:top w:w="65" w:type="dxa"/>
              <w:start w:w="25" w:type="dxa"/>
              <w:bottom w:w="65" w:type="dxa"/>
              <w:end w:w="25" w:type="dxa"/>
            </w:tcMar>
            <w:tcBorders>
              <w:bottom w:val="single" w:color="CCDCD6" w:sz="4"/>
            </w:tcBorders>
          </w:tcPr>
          <w:p>
            <w:pPr>
              <w:spacing w:before="0" w:after="0" w:line="252" w:lineRule="auto"/>
              <w:jc w:val="center"/>
            </w:pPr>
            <w:r>
              <w:rPr>
                <w:rFonts w:ascii="Carlito" w:hAnsi="Carlito"/>
                <w:b/>
                <w:color w:val="00654D"/>
                <w:sz w:val="18"/>
              </w:rPr>
              <w:t>10</w:t>
            </w:r>
          </w:p>
        </w:tc>
        <w:tc>
          <w:tcPr>
            <w:tcW w:type="dxa" w:w="9835"/>
            <w:vAlign w:val="center"/>
            <w:shd w:fill="FFFFFF"/>
            <w:tcMar>
              <w:top w:w="66" w:type="dxa"/>
              <w:start w:w="95" w:type="dxa"/>
              <w:bottom w:w="66" w:type="dxa"/>
              <w:end w:w="110" w:type="dxa"/>
            </w:tcMar>
            <w:tcBorders>
              <w:bottom w:val="single" w:color="CCDCD6" w:sz="4"/>
            </w:tcBorders>
          </w:tcPr>
          <w:p>
            <w:pPr>
              <w:spacing w:before="0" w:after="0" w:line="259" w:lineRule="auto"/>
            </w:pPr>
            <w:r>
              <w:rPr>
                <w:rFonts w:ascii="Carlito" w:hAnsi="Carlito"/>
                <w:b/>
                <w:color w:val="1C3030"/>
                <w:sz w:val="16"/>
              </w:rPr>
              <w:t xml:space="preserve">Written SOP &amp; emergency plan  </w:t>
            </w:r>
            <w:r>
              <w:rPr>
                <w:rFonts w:ascii="Carlito" w:hAnsi="Carlito"/>
                <w:b w:val="0"/>
                <w:color w:val="1C3030"/>
                <w:sz w:val="16"/>
              </w:rPr>
              <w:t>Each program documents check-in/out, authorized pickup, early release, illness/injury, emergencies, parent notification, escalation and incident records; submit procedures to the Education Committee.</w:t>
            </w:r>
          </w:p>
        </w:tc>
      </w:tr>
    </w:tbl>
    <w:p>
      <w:pPr>
        <w:spacing w:before="120" w:after="80" w:line="252" w:lineRule="auto"/>
      </w:pPr>
      <w:r>
        <w:rPr>
          <w:rFonts w:ascii="Carlito" w:hAnsi="Carlito"/>
          <w:b/>
          <w:color w:val="00654D"/>
          <w:sz w:val="18"/>
        </w:rPr>
        <w:t>SPENDING &amp; REIMBURSEMENT: FOUR DECISION RULES</w:t>
      </w:r>
    </w:p>
    <w:tbl>
      <w:tblPr>
        <w:tblW w:type="auto" w:w="0"/>
        <w:jc w:val="center"/>
        <w:tblLayout w:type="fixed"/>
        <w:tblLook w:firstColumn="1" w:firstRow="1" w:lastColumn="0" w:lastRow="0" w:noHBand="0" w:noVBand="1" w:val="04A0"/>
      </w:tblPr>
      <w:tblGrid>
        <w:gridCol w:w="2203"/>
        <w:gridCol w:w="8251"/>
      </w:tblGrid>
      <w:tr>
        <w:tc>
          <w:tcPr>
            <w:tcW w:type="dxa" w:w="2203"/>
            <w:vAlign w:val="center"/>
            <w:tcMar>
              <w:top w:w="83" w:type="dxa"/>
              <w:start w:w="107" w:type="dxa"/>
              <w:bottom w:w="83" w:type="dxa"/>
              <w:end w:w="105" w:type="dxa"/>
            </w:tcMar>
            <w:tcBorders>
              <w:bottom w:val="single" w:color="CCDCD6" w:sz="4"/>
            </w:tcBorders>
            <w:shd w:fill="E7F0EC"/>
          </w:tcPr>
          <w:p>
            <w:pPr>
              <w:spacing w:before="0" w:after="0" w:line="252" w:lineRule="auto"/>
            </w:pPr>
            <w:r>
              <w:rPr>
                <w:rFonts w:ascii="Carlito" w:hAnsi="Carlito"/>
                <w:b/>
                <w:color w:val="00654D"/>
                <w:sz w:val="16"/>
              </w:rPr>
              <w:t>BUDGETED  •  $1,000 OR LESS</w:t>
            </w:r>
          </w:p>
        </w:tc>
        <w:tc>
          <w:tcPr>
            <w:tcW w:type="dxa" w:w="8251"/>
            <w:vAlign w:val="center"/>
            <w:tcMar>
              <w:top w:w="83" w:type="dxa"/>
              <w:start w:w="107" w:type="dxa"/>
              <w:bottom w:w="83" w:type="dxa"/>
              <w:end w:w="105" w:type="dxa"/>
            </w:tcMar>
            <w:tcBorders>
              <w:bottom w:val="single" w:color="CCDCD6" w:sz="4"/>
            </w:tcBorders>
            <w:shd w:fill="F4F8F6"/>
          </w:tcPr>
          <w:p>
            <w:pPr>
              <w:spacing w:before="0" w:after="0" w:line="257" w:lineRule="auto"/>
            </w:pPr>
            <w:r>
              <w:rPr>
                <w:rFonts w:ascii="Carlito" w:hAnsi="Carlito"/>
                <w:b w:val="0"/>
                <w:color w:val="1C3030"/>
                <w:sz w:val="16"/>
              </w:rPr>
              <w:t>No separate pre-purchase approval. Pay with the assigned Education debit card; upload the itemized receipt to Central Finance / Treasurer.</w:t>
            </w:r>
          </w:p>
        </w:tc>
      </w:tr>
      <w:tr>
        <w:tc>
          <w:tcPr>
            <w:tcW w:type="dxa" w:w="2203"/>
            <w:vAlign w:val="center"/>
            <w:tcMar>
              <w:top w:w="83" w:type="dxa"/>
              <w:start w:w="107" w:type="dxa"/>
              <w:bottom w:w="83" w:type="dxa"/>
              <w:end w:w="105" w:type="dxa"/>
            </w:tcMar>
            <w:tcBorders>
              <w:bottom w:val="single" w:color="CCDCD6" w:sz="4"/>
            </w:tcBorders>
            <w:shd w:fill="DBEAE3"/>
          </w:tcPr>
          <w:p>
            <w:pPr>
              <w:spacing w:before="0" w:after="0" w:line="252" w:lineRule="auto"/>
            </w:pPr>
            <w:r>
              <w:rPr>
                <w:rFonts w:ascii="Carlito" w:hAnsi="Carlito"/>
                <w:b/>
                <w:color w:val="00654D"/>
                <w:sz w:val="16"/>
              </w:rPr>
              <w:t>BUDGETED  •  NON-CARD</w:t>
            </w:r>
          </w:p>
        </w:tc>
        <w:tc>
          <w:tcPr>
            <w:tcW w:type="dxa" w:w="8251"/>
            <w:vAlign w:val="center"/>
            <w:tcMar>
              <w:top w:w="83" w:type="dxa"/>
              <w:start w:w="107" w:type="dxa"/>
              <w:bottom w:w="83" w:type="dxa"/>
              <w:end w:w="105" w:type="dxa"/>
            </w:tcMar>
            <w:tcBorders>
              <w:bottom w:val="single" w:color="CCDCD6" w:sz="4"/>
            </w:tcBorders>
            <w:shd w:fill="FFFFFF"/>
          </w:tcPr>
          <w:p>
            <w:pPr>
              <w:spacing w:before="0" w:after="0" w:line="257" w:lineRule="auto"/>
            </w:pPr>
            <w:r>
              <w:rPr>
                <w:rFonts w:ascii="Carlito" w:hAnsi="Carlito"/>
                <w:b w:val="0"/>
                <w:color w:val="1C3030"/>
                <w:sz w:val="16"/>
              </w:rPr>
              <w:t>No advance purchase approval if $1,000 or less. If personally paid, submit a receipt-backed reimbursement in Central Finance; payment follows reimbursement approval.</w:t>
            </w:r>
          </w:p>
        </w:tc>
      </w:tr>
      <w:tr>
        <w:tc>
          <w:tcPr>
            <w:tcW w:type="dxa" w:w="2203"/>
            <w:vAlign w:val="center"/>
            <w:tcMar>
              <w:top w:w="83" w:type="dxa"/>
              <w:start w:w="107" w:type="dxa"/>
              <w:bottom w:w="83" w:type="dxa"/>
              <w:end w:w="105" w:type="dxa"/>
            </w:tcMar>
            <w:tcBorders>
              <w:bottom w:val="single" w:color="CCDCD6" w:sz="4"/>
            </w:tcBorders>
            <w:shd w:fill="E7F0EC"/>
          </w:tcPr>
          <w:p>
            <w:pPr>
              <w:spacing w:before="0" w:after="0" w:line="252" w:lineRule="auto"/>
            </w:pPr>
            <w:r>
              <w:rPr>
                <w:rFonts w:ascii="Carlito" w:hAnsi="Carlito"/>
                <w:b/>
                <w:color w:val="00654D"/>
                <w:sz w:val="16"/>
              </w:rPr>
              <w:t>NOT BUDGETED  OR  OVER $1,000</w:t>
            </w:r>
          </w:p>
        </w:tc>
        <w:tc>
          <w:tcPr>
            <w:tcW w:type="dxa" w:w="8251"/>
            <w:vAlign w:val="center"/>
            <w:tcMar>
              <w:top w:w="83" w:type="dxa"/>
              <w:start w:w="107" w:type="dxa"/>
              <w:bottom w:w="83" w:type="dxa"/>
              <w:end w:w="105" w:type="dxa"/>
            </w:tcMar>
            <w:tcBorders>
              <w:bottom w:val="single" w:color="CCDCD6" w:sz="4"/>
            </w:tcBorders>
            <w:shd w:fill="F4F8F6"/>
          </w:tcPr>
          <w:p>
            <w:pPr>
              <w:spacing w:before="0" w:after="0" w:line="257" w:lineRule="auto"/>
            </w:pPr>
            <w:r>
              <w:rPr>
                <w:rFonts w:ascii="Carlito" w:hAnsi="Carlito"/>
                <w:b w:val="0"/>
                <w:color w:val="1C3030"/>
                <w:sz w:val="16"/>
              </w:rPr>
              <w:t>Submit an expense request in Central Finance and obtain Board-designated approval before purchasing, even when using a debit card. After approval, purchase and file the receipt.</w:t>
            </w:r>
          </w:p>
        </w:tc>
      </w:tr>
      <w:tr>
        <w:tc>
          <w:tcPr>
            <w:tcW w:type="dxa" w:w="2203"/>
            <w:vAlign w:val="center"/>
            <w:tcMar>
              <w:top w:w="83" w:type="dxa"/>
              <w:start w:w="107" w:type="dxa"/>
              <w:bottom w:w="83" w:type="dxa"/>
              <w:end w:w="105" w:type="dxa"/>
            </w:tcMar>
            <w:tcBorders>
              <w:bottom w:val="single" w:color="CCDCD6" w:sz="4"/>
            </w:tcBorders>
            <w:shd w:fill="DBEAE3"/>
          </w:tcPr>
          <w:p>
            <w:pPr>
              <w:spacing w:before="0" w:after="0" w:line="252" w:lineRule="auto"/>
            </w:pPr>
            <w:r>
              <w:rPr>
                <w:rFonts w:ascii="Carlito" w:hAnsi="Carlito"/>
                <w:b/>
                <w:color w:val="00654D"/>
                <w:sz w:val="16"/>
              </w:rPr>
              <w:t>NON-BUDGETED  •  ALREADY SPENT</w:t>
            </w:r>
          </w:p>
        </w:tc>
        <w:tc>
          <w:tcPr>
            <w:tcW w:type="dxa" w:w="8251"/>
            <w:vAlign w:val="center"/>
            <w:tcMar>
              <w:top w:w="83" w:type="dxa"/>
              <w:start w:w="107" w:type="dxa"/>
              <w:bottom w:w="83" w:type="dxa"/>
              <w:end w:w="105" w:type="dxa"/>
            </w:tcMar>
            <w:tcBorders>
              <w:bottom w:val="single" w:color="CCDCD6" w:sz="4"/>
            </w:tcBorders>
            <w:shd w:fill="FFFFFF"/>
          </w:tcPr>
          <w:p>
            <w:pPr>
              <w:spacing w:before="0" w:after="0" w:line="257" w:lineRule="auto"/>
            </w:pPr>
            <w:r>
              <w:rPr>
                <w:rFonts w:ascii="Carlito" w:hAnsi="Carlito"/>
                <w:b w:val="0"/>
                <w:color w:val="1C3030"/>
                <w:sz w:val="16"/>
              </w:rPr>
              <w:t>File the receipt and explanation in Central Finance for after-the-fact review. For personal-card spending, request reimbursement; pay only after reimbursement approval.</w:t>
            </w:r>
          </w:p>
        </w:tc>
      </w:tr>
    </w:tbl>
    <w:p>
      <w:pPr>
        <w:spacing w:before="80" w:after="0" w:line="264" w:lineRule="auto"/>
      </w:pPr>
      <w:r>
        <w:rPr>
          <w:rFonts w:ascii="Carlito" w:hAnsi="Carlito"/>
          <w:b/>
          <w:color w:val="00654D"/>
          <w:sz w:val="15"/>
        </w:rPr>
        <w:t xml:space="preserve">CARD / VENDOR RULE  </w:t>
      </w:r>
      <w:r>
        <w:rPr>
          <w:rFonts w:ascii="Carlito" w:hAnsi="Carlito"/>
          <w:b w:val="0"/>
          <w:color w:val="1C3030"/>
          <w:sz w:val="15"/>
        </w:rPr>
        <w:t>Education purchases through Amazon or Sam’s Club must use the Education-linked debit card. Debit card purchases must retain itemized receipts; non-budgeted or &gt;$1,000 purchases require prior approval.</w:t>
      </w:r>
    </w:p>
    <w:p>
      <w:pPr>
        <w:spacing w:before="140" w:after="80" w:line="252" w:lineRule="auto"/>
      </w:pPr>
      <w:r>
        <w:rPr>
          <w:rFonts w:ascii="Carlito" w:hAnsi="Carlito"/>
          <w:b/>
          <w:color w:val="00654D"/>
          <w:sz w:val="18"/>
        </w:rPr>
        <w:t>STUDENT ENROLLMENT FLOW</w:t>
      </w:r>
    </w:p>
    <w:tbl>
      <w:tblPr>
        <w:tblW w:type="auto" w:w="0"/>
        <w:jc w:val="center"/>
        <w:tblLayout w:type="fixed"/>
        <w:tblLook w:firstColumn="1" w:firstRow="1" w:lastColumn="0" w:lastRow="0" w:noHBand="0" w:noVBand="1" w:val="04A0"/>
      </w:tblPr>
      <w:tblGrid>
        <w:gridCol w:w="2016"/>
        <w:gridCol w:w="317"/>
        <w:gridCol w:w="1944"/>
        <w:gridCol w:w="317"/>
        <w:gridCol w:w="1843"/>
        <w:gridCol w:w="317"/>
        <w:gridCol w:w="3701"/>
      </w:tblGrid>
      <w:tr>
        <w:tc>
          <w:tcPr>
            <w:tcW w:type="dxa" w:w="2016"/>
            <w:shd w:fill="F2F7F5"/>
            <w:tcMar>
              <w:top w:w="100" w:type="dxa"/>
              <w:start w:w="45" w:type="dxa"/>
              <w:bottom w:w="100" w:type="dxa"/>
              <w:end w:w="45" w:type="dxa"/>
            </w:tcMar>
            <w:tcBorders>
              <w:bottom w:val="single" w:color="B4D1C2" w:sz="4"/>
            </w:tcBorders>
          </w:tcPr>
          <w:p>
            <w:pPr>
              <w:spacing w:before="0" w:after="0" w:line="252" w:lineRule="auto"/>
              <w:jc w:val="center"/>
            </w:pPr>
            <w:r>
              <w:rPr>
                <w:rFonts w:ascii="Carlito" w:hAnsi="Carlito"/>
                <w:b/>
                <w:color w:val="00654D"/>
                <w:sz w:val="16"/>
              </w:rPr>
              <w:t>Parent profile</w:t>
            </w:r>
          </w:p>
        </w:tc>
        <w:tc>
          <w:tcPr>
            <w:tcW w:type="dxa" w:w="317"/>
          </w:tcPr>
          <w:p>
            <w:pPr>
              <w:spacing w:before="0" w:after="0" w:line="240" w:lineRule="auto"/>
              <w:jc w:val="center"/>
            </w:pPr>
            <w:r>
              <w:rPr>
                <w:rFonts w:ascii="Carlito" w:hAnsi="Carlito"/>
                <w:b/>
                <w:color w:val="B68B36"/>
                <w:sz w:val="28"/>
              </w:rPr>
              <w:t>›</w:t>
            </w:r>
          </w:p>
        </w:tc>
        <w:tc>
          <w:tcPr>
            <w:tcW w:type="dxa" w:w="1944"/>
            <w:shd w:fill="F2F7F5"/>
            <w:tcMar>
              <w:top w:w="100" w:type="dxa"/>
              <w:start w:w="45" w:type="dxa"/>
              <w:bottom w:w="100" w:type="dxa"/>
              <w:end w:w="45" w:type="dxa"/>
            </w:tcMar>
            <w:tcBorders>
              <w:bottom w:val="single" w:color="B4D1C2" w:sz="4"/>
            </w:tcBorders>
          </w:tcPr>
          <w:p>
            <w:pPr>
              <w:spacing w:before="0" w:after="0" w:line="252" w:lineRule="auto"/>
              <w:jc w:val="center"/>
            </w:pPr>
            <w:r>
              <w:rPr>
                <w:rFonts w:ascii="Carlito" w:hAnsi="Carlito"/>
                <w:b/>
                <w:color w:val="00654D"/>
                <w:sz w:val="16"/>
              </w:rPr>
              <w:t>Add child profile</w:t>
            </w:r>
          </w:p>
        </w:tc>
        <w:tc>
          <w:tcPr>
            <w:tcW w:type="dxa" w:w="317"/>
          </w:tcPr>
          <w:p>
            <w:pPr>
              <w:spacing w:before="0" w:after="0" w:line="240" w:lineRule="auto"/>
              <w:jc w:val="center"/>
            </w:pPr>
            <w:r>
              <w:rPr>
                <w:rFonts w:ascii="Carlito" w:hAnsi="Carlito"/>
                <w:b/>
                <w:color w:val="B68B36"/>
                <w:sz w:val="28"/>
              </w:rPr>
              <w:t>›</w:t>
            </w:r>
          </w:p>
        </w:tc>
        <w:tc>
          <w:tcPr>
            <w:tcW w:type="dxa" w:w="1843"/>
            <w:shd w:fill="F2F7F5"/>
            <w:tcMar>
              <w:top w:w="100" w:type="dxa"/>
              <w:start w:w="45" w:type="dxa"/>
              <w:bottom w:w="100" w:type="dxa"/>
              <w:end w:w="45" w:type="dxa"/>
            </w:tcMar>
            <w:tcBorders>
              <w:bottom w:val="single" w:color="B4D1C2" w:sz="4"/>
            </w:tcBorders>
          </w:tcPr>
          <w:p>
            <w:pPr>
              <w:spacing w:before="0" w:after="0" w:line="252" w:lineRule="auto"/>
              <w:jc w:val="center"/>
            </w:pPr>
            <w:r>
              <w:rPr>
                <w:rFonts w:ascii="Carlito" w:hAnsi="Carlito"/>
                <w:b/>
                <w:color w:val="00654D"/>
                <w:sz w:val="16"/>
              </w:rPr>
              <w:t>Program &amp; class</w:t>
            </w:r>
          </w:p>
        </w:tc>
        <w:tc>
          <w:tcPr>
            <w:tcW w:type="dxa" w:w="317"/>
          </w:tcPr>
          <w:p>
            <w:pPr>
              <w:spacing w:before="0" w:after="0" w:line="240" w:lineRule="auto"/>
              <w:jc w:val="center"/>
            </w:pPr>
            <w:r>
              <w:rPr>
                <w:rFonts w:ascii="Carlito" w:hAnsi="Carlito"/>
                <w:b/>
                <w:color w:val="B68B36"/>
                <w:sz w:val="28"/>
              </w:rPr>
              <w:t>›</w:t>
            </w:r>
          </w:p>
        </w:tc>
        <w:tc>
          <w:tcPr>
            <w:tcW w:type="dxa" w:w="3701"/>
            <w:shd w:fill="F2F7F5"/>
            <w:tcMar>
              <w:top w:w="100" w:type="dxa"/>
              <w:start w:w="45" w:type="dxa"/>
              <w:bottom w:w="100" w:type="dxa"/>
              <w:end w:w="45" w:type="dxa"/>
            </w:tcMar>
            <w:tcBorders>
              <w:bottom w:val="single" w:color="B4D1C2" w:sz="4"/>
            </w:tcBorders>
          </w:tcPr>
          <w:p>
            <w:pPr>
              <w:spacing w:before="0" w:after="0" w:line="252" w:lineRule="auto"/>
              <w:jc w:val="center"/>
            </w:pPr>
            <w:r>
              <w:rPr>
                <w:rFonts w:ascii="Carlito" w:hAnsi="Carlito"/>
                <w:b/>
                <w:color w:val="00654D"/>
                <w:sz w:val="16"/>
              </w:rPr>
              <w:t>Pay via Central Student Profile</w:t>
            </w:r>
          </w:p>
        </w:tc>
      </w:tr>
    </w:tbl>
    <w:p>
      <w:pPr>
        <w:spacing w:before="120" w:after="20"/>
      </w:pPr>
      <w:r>
        <w:rPr>
          <w:b/>
          <w:color w:val="006449"/>
          <w:sz w:val="15"/>
        </w:rPr>
        <w:t xml:space="preserve">MONTHLY PARENT COMMUNICATION  </w:t>
      </w:r>
      <w:r>
        <w:rPr>
          <w:sz w:val="15"/>
        </w:rPr>
        <w:t>Start: curriculum email  →  Each class: attendance + progress in Central  →  Month-end: automatic parent report</w:t>
      </w:r>
    </w:p>
    <w:p>
      <w:pPr>
        <w:spacing w:before="120" w:after="0" w:line="262" w:lineRule="auto"/>
      </w:pPr>
      <w:r>
        <w:rPr>
          <w:rFonts w:ascii="Carlito" w:hAnsi="Carlito"/>
          <w:b/>
          <w:color w:val="00654D"/>
          <w:sz w:val="15"/>
        </w:rPr>
        <w:t xml:space="preserve">SOP baseline: </w:t>
      </w:r>
      <w:r>
        <w:rPr>
          <w:rFonts w:ascii="Carlito" w:hAnsi="Carlito"/>
          <w:b w:val="0"/>
          <w:color w:val="1C3030"/>
          <w:sz w:val="15"/>
        </w:rPr>
        <w:t>Release students only to verified authorized adults; record early releases. For serious injury or danger, contact emergency services, alert the guardian and program lead, and document the incident.</w:t>
      </w:r>
    </w:p>
    <w:p>
      <w:pPr>
        <w:spacing w:before="120" w:after="0" w:line="262" w:lineRule="auto"/>
      </w:pPr>
      <w:r>
        <w:rPr>
          <w:rFonts w:ascii="Carlito" w:hAnsi="Carlito"/>
          <w:b/>
          <w:color w:val="00654D"/>
          <w:sz w:val="14"/>
        </w:rPr>
      </w:r>
      <w:r>
        <w:rPr>
          <w:rFonts w:ascii="Carlito" w:hAnsi="Carlito"/>
          <w:b w:val="0"/>
          <w:color w:val="637675"/>
          <w:sz w:val="14"/>
        </w:rPr>
      </w:r>
      <w:r>
        <w:rPr>
          <w:b/>
          <w:color w:val="006449"/>
        </w:rPr>
        <w:t xml:space="preserve">Governance note: </w:t>
      </w:r>
      <w:r>
        <w:rPr>
          <w:sz w:val="14"/>
        </w:rPr>
        <w:t>BoD-approved budgets must delegate routine spending authority consistent with Constitution Art. 8.7.2. Contracts above $5,000 require three bids (Arts. 5.1.9, 8.2.8). Expense and emergency procedures may be issued separately.</w:t>
      </w:r>
    </w:p>
    <w:sectPr w:rsidR="00FC693F" w:rsidRPr="0006063C" w:rsidSect="00034616">
      <w:footerReference w:type="default" r:id="rId10"/>
      <w:pgSz w:w="12240" w:h="15840"/>
      <w:pgMar w:top="662" w:right="893" w:bottom="619" w:left="893" w:header="360"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rlito" w:hAnsi="Carlito"/>
        <w:b w:val="0"/>
        <w:color w:val="637675"/>
        <w:sz w:val="14"/>
      </w:rPr>
      <w:t>Policy owner: IALFM Board of Directors  •  Oversight: Education Committee  •  v1.3 (proposed)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Carlito" w:hAnsi="Carlito"/>
      <w:color w:val="1C303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IALFM Education Program Policy v1.3 (Proposed)</dc:title>
  <dc:subject>IALFM Education policy: teacher pay, parent communications, safety and expense controls</dc:subject>
  <dc:creator>IALFM</dc:creator>
  <cp:keywords/>
  <dc:description>generated by python-docx</dc:description>
  <cp:lastModifiedBy/>
  <cp:revision>1</cp:revision>
  <dcterms:created xsi:type="dcterms:W3CDTF">2013-12-23T23:15:00Z</dcterms:created>
  <dcterms:modified xsi:type="dcterms:W3CDTF">2013-12-23T23:15:00Z</dcterms:modified>
  <cp:category/>
</cp:coreProperties>
</file>